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21" w:rsidRDefault="00C84421" w:rsidP="00C84421">
      <w:pPr>
        <w:rPr>
          <w:b/>
          <w:sz w:val="20"/>
          <w:szCs w:val="20"/>
          <w:u w:val="single"/>
        </w:rPr>
      </w:pPr>
    </w:p>
    <w:p w:rsidR="00C84421" w:rsidRDefault="00C84421" w:rsidP="00C84421">
      <w:pPr>
        <w:rPr>
          <w:b/>
          <w:sz w:val="20"/>
          <w:szCs w:val="20"/>
          <w:u w:val="single"/>
        </w:rPr>
      </w:pPr>
    </w:p>
    <w:p w:rsidR="00C84421" w:rsidRPr="00E7099E" w:rsidRDefault="00C84421" w:rsidP="00C84421">
      <w:pPr>
        <w:rPr>
          <w:b/>
          <w:sz w:val="20"/>
          <w:szCs w:val="20"/>
          <w:u w:val="single"/>
        </w:rPr>
      </w:pPr>
      <w:r w:rsidRPr="00E7099E">
        <w:rPr>
          <w:b/>
          <w:sz w:val="20"/>
          <w:szCs w:val="20"/>
          <w:u w:val="single"/>
        </w:rPr>
        <w:t>Some Latest Development in Banking &amp; Finance: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1.  RBI asked banks to comply with on address proof norm for KYC compliance in opening account by the migrated people who </w:t>
      </w:r>
      <w:proofErr w:type="spellStart"/>
      <w:r w:rsidRPr="00E7099E">
        <w:rPr>
          <w:sz w:val="20"/>
          <w:szCs w:val="20"/>
        </w:rPr>
        <w:t>can not</w:t>
      </w:r>
      <w:proofErr w:type="spellEnd"/>
      <w:r w:rsidRPr="00E7099E">
        <w:rPr>
          <w:sz w:val="20"/>
          <w:szCs w:val="20"/>
        </w:rPr>
        <w:t xml:space="preserve"> produce local address proof but provides that of for permanent Address. Moreover as a measure of officially validated document, any one document serving the purpose of Identity &amp; address proof under CIP &amp; CAP of KYC would serve the purpose.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2. RBI amended Basel III guidelines and bank can now issue Tier _II capital with minimum maturity of ⁵ years as against extant 10 years. Moreover Banks can now issue Additional Tier I capital for Basel III compliance to retail investors subject to board approval. Moreover, Call Option on the additional Tier I Debt has now been permitted </w:t>
      </w:r>
      <w:proofErr w:type="gramStart"/>
      <w:r w:rsidRPr="00E7099E">
        <w:rPr>
          <w:sz w:val="20"/>
          <w:szCs w:val="20"/>
        </w:rPr>
        <w:t>at  years</w:t>
      </w:r>
      <w:proofErr w:type="gramEnd"/>
      <w:r w:rsidRPr="00E7099E">
        <w:rPr>
          <w:sz w:val="20"/>
          <w:szCs w:val="20"/>
        </w:rPr>
        <w:t xml:space="preserve">  maturity versus 10 years maturity earlier.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3. Age limit of MD &amp; CEO &amp; other Whole time Directors of Private banks is now 70 years </w:t>
      </w:r>
      <w:proofErr w:type="gramStart"/>
      <w:r w:rsidRPr="00E7099E">
        <w:rPr>
          <w:sz w:val="20"/>
          <w:szCs w:val="20"/>
        </w:rPr>
        <w:t>maximum</w:t>
      </w:r>
      <w:proofErr w:type="gramEnd"/>
      <w:r w:rsidRPr="00E7099E">
        <w:rPr>
          <w:sz w:val="20"/>
          <w:szCs w:val="20"/>
        </w:rPr>
        <w:t>. As per Companies Act 2013 no companies can appoint or continue the employment of MD, CEO, WTD who is below 21 years &amp; above 70 years.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4. ATM Withdrawal at 6 metro </w:t>
      </w:r>
      <w:proofErr w:type="spellStart"/>
      <w:r w:rsidRPr="00E7099E">
        <w:rPr>
          <w:sz w:val="20"/>
          <w:szCs w:val="20"/>
        </w:rPr>
        <w:t>centres</w:t>
      </w:r>
      <w:proofErr w:type="spellEnd"/>
      <w:r w:rsidRPr="00E7099E">
        <w:rPr>
          <w:sz w:val="20"/>
          <w:szCs w:val="20"/>
        </w:rPr>
        <w:t xml:space="preserve"> for non-home ATM, max. </w:t>
      </w:r>
      <w:proofErr w:type="gramStart"/>
      <w:r w:rsidRPr="00E7099E">
        <w:rPr>
          <w:sz w:val="20"/>
          <w:szCs w:val="20"/>
        </w:rPr>
        <w:t>is</w:t>
      </w:r>
      <w:proofErr w:type="gramEnd"/>
      <w:r w:rsidRPr="00E7099E">
        <w:rPr>
          <w:sz w:val="20"/>
          <w:szCs w:val="20"/>
        </w:rPr>
        <w:t xml:space="preserve"> 3 and for other </w:t>
      </w:r>
      <w:proofErr w:type="spellStart"/>
      <w:r w:rsidRPr="00E7099E">
        <w:rPr>
          <w:sz w:val="20"/>
          <w:szCs w:val="20"/>
        </w:rPr>
        <w:t>centres</w:t>
      </w:r>
      <w:proofErr w:type="spellEnd"/>
      <w:r w:rsidRPr="00E7099E">
        <w:rPr>
          <w:sz w:val="20"/>
          <w:szCs w:val="20"/>
        </w:rPr>
        <w:t xml:space="preserve"> it remains ⁵. Balance checking etc transaction would be counted as cash withdrawal for the purpose of this.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Rs. 20 will be charged for exceeding the limit of 3 </w:t>
      </w:r>
      <w:proofErr w:type="spellStart"/>
      <w:r w:rsidRPr="00E7099E">
        <w:rPr>
          <w:sz w:val="20"/>
          <w:szCs w:val="20"/>
        </w:rPr>
        <w:t>txn</w:t>
      </w:r>
      <w:proofErr w:type="spellEnd"/>
      <w:r w:rsidRPr="00E7099E">
        <w:rPr>
          <w:sz w:val="20"/>
          <w:szCs w:val="20"/>
        </w:rPr>
        <w:t xml:space="preserve"> per </w:t>
      </w:r>
      <w:proofErr w:type="spellStart"/>
      <w:r w:rsidRPr="00E7099E">
        <w:rPr>
          <w:sz w:val="20"/>
          <w:szCs w:val="20"/>
        </w:rPr>
        <w:t>txn</w:t>
      </w:r>
      <w:proofErr w:type="spellEnd"/>
      <w:r w:rsidRPr="00E7099E">
        <w:rPr>
          <w:sz w:val="20"/>
          <w:szCs w:val="20"/>
        </w:rPr>
        <w:t xml:space="preserve"> in 6 metro cities. It is effective from November 1</w:t>
      </w:r>
      <w:r w:rsidRPr="00E7099E">
        <w:rPr>
          <w:sz w:val="20"/>
          <w:szCs w:val="20"/>
          <w:vertAlign w:val="superscript"/>
        </w:rPr>
        <w:t>st</w:t>
      </w:r>
      <w:r w:rsidRPr="00E7099E">
        <w:rPr>
          <w:sz w:val="20"/>
          <w:szCs w:val="20"/>
        </w:rPr>
        <w:t>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⁵. Threat of ‘</w:t>
      </w:r>
      <w:proofErr w:type="spellStart"/>
      <w:r w:rsidRPr="00E7099E">
        <w:rPr>
          <w:sz w:val="20"/>
          <w:szCs w:val="20"/>
        </w:rPr>
        <w:t>Smurfing</w:t>
      </w:r>
      <w:proofErr w:type="spellEnd"/>
      <w:r w:rsidRPr="00E7099E">
        <w:rPr>
          <w:sz w:val="20"/>
          <w:szCs w:val="20"/>
        </w:rPr>
        <w:t xml:space="preserve">’ in opening account  by using different identity document in different banks by single customer whereby the </w:t>
      </w:r>
      <w:proofErr w:type="spellStart"/>
      <w:r w:rsidRPr="00E7099E">
        <w:rPr>
          <w:sz w:val="20"/>
          <w:szCs w:val="20"/>
        </w:rPr>
        <w:t>Hawala</w:t>
      </w:r>
      <w:proofErr w:type="spellEnd"/>
      <w:r w:rsidRPr="00E7099E">
        <w:rPr>
          <w:sz w:val="20"/>
          <w:szCs w:val="20"/>
        </w:rPr>
        <w:t xml:space="preserve"> </w:t>
      </w:r>
      <w:proofErr w:type="spellStart"/>
      <w:r w:rsidRPr="00E7099E">
        <w:rPr>
          <w:sz w:val="20"/>
          <w:szCs w:val="20"/>
        </w:rPr>
        <w:t>operatore</w:t>
      </w:r>
      <w:proofErr w:type="spellEnd"/>
      <w:r w:rsidRPr="00E7099E">
        <w:rPr>
          <w:sz w:val="20"/>
          <w:szCs w:val="20"/>
        </w:rPr>
        <w:t xml:space="preserve"> would split the whole amount into several small units beyond the threshold fixed by the bank and launder money overseas.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6. RBI has asked banks to roll out POS for Debit Cards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7. Banks can tag Guarantor also as willful defaulter if they do not meet up the obligation after demand made by the banks.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8. RBI introduced Small &amp; Payment Banks, a new concept for payment </w:t>
      </w:r>
      <w:proofErr w:type="gramStart"/>
      <w:r w:rsidRPr="00E7099E">
        <w:rPr>
          <w:sz w:val="20"/>
          <w:szCs w:val="20"/>
        </w:rPr>
        <w:t>settlement  as</w:t>
      </w:r>
      <w:proofErr w:type="gramEnd"/>
      <w:r w:rsidRPr="00E7099E">
        <w:rPr>
          <w:sz w:val="20"/>
          <w:szCs w:val="20"/>
        </w:rPr>
        <w:t xml:space="preserve"> a measure of financial inclusion </w:t>
      </w:r>
      <w:proofErr w:type="spellStart"/>
      <w:r w:rsidRPr="00E7099E">
        <w:rPr>
          <w:sz w:val="20"/>
          <w:szCs w:val="20"/>
        </w:rPr>
        <w:t>bu</w:t>
      </w:r>
      <w:proofErr w:type="spellEnd"/>
      <w:r w:rsidRPr="00E7099E">
        <w:rPr>
          <w:sz w:val="20"/>
          <w:szCs w:val="20"/>
        </w:rPr>
        <w:t xml:space="preserve"> providing small savings account and payment / remittance services to migrant </w:t>
      </w:r>
      <w:proofErr w:type="spellStart"/>
      <w:r w:rsidRPr="00E7099E">
        <w:rPr>
          <w:sz w:val="20"/>
          <w:szCs w:val="20"/>
        </w:rPr>
        <w:t>labour</w:t>
      </w:r>
      <w:proofErr w:type="spellEnd"/>
      <w:r w:rsidRPr="00E7099E">
        <w:rPr>
          <w:sz w:val="20"/>
          <w:szCs w:val="20"/>
        </w:rPr>
        <w:t xml:space="preserve"> workforce, unorganized sector entities and other users in a secured technology driven platform.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Non-bank pre-paid instrument issuers, NBFCs Corporate BCs mobile telephone companies Super-market chains Corporate, Real Sector Cooperatives and PSEs &amp; LABs would be eligible for such banks which includes resident individual with 10 years experience in banking &amp; finance.  Minimum paid up capital for both payment banks &amp; small banks have been kept 100 </w:t>
      </w:r>
      <w:proofErr w:type="spellStart"/>
      <w:r w:rsidRPr="00E7099E">
        <w:rPr>
          <w:sz w:val="20"/>
          <w:szCs w:val="20"/>
        </w:rPr>
        <w:t>crore</w:t>
      </w:r>
      <w:proofErr w:type="spellEnd"/>
      <w:r w:rsidRPr="00E7099E">
        <w:rPr>
          <w:sz w:val="20"/>
          <w:szCs w:val="20"/>
        </w:rPr>
        <w:t xml:space="preserve"> with min. 40 % promoter’s contribution to be locked in for a period of ⁵ years.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9. Shareholding of the promoters will be brought down to 40 % within 3 years, 30 % within 10 year and 26 % within 12 years from the date of commencement.</w:t>
      </w:r>
    </w:p>
    <w:p w:rsidR="00C84421" w:rsidRPr="00E7099E" w:rsidRDefault="00C84421" w:rsidP="00C84421">
      <w:pPr>
        <w:rPr>
          <w:sz w:val="20"/>
          <w:szCs w:val="20"/>
        </w:rPr>
      </w:pPr>
      <w:proofErr w:type="gramStart"/>
      <w:r w:rsidRPr="00E7099E">
        <w:rPr>
          <w:sz w:val="20"/>
          <w:szCs w:val="20"/>
        </w:rPr>
        <w:t xml:space="preserve">10 RBI panel on capacity building in Bank &amp; </w:t>
      </w:r>
      <w:proofErr w:type="spellStart"/>
      <w:r w:rsidRPr="00E7099E">
        <w:rPr>
          <w:sz w:val="20"/>
          <w:szCs w:val="20"/>
        </w:rPr>
        <w:t>NBFcs</w:t>
      </w:r>
      <w:proofErr w:type="spellEnd"/>
      <w:r w:rsidRPr="00E7099E">
        <w:rPr>
          <w:sz w:val="20"/>
          <w:szCs w:val="20"/>
        </w:rPr>
        <w:t xml:space="preserve"> to implement non-legislative 360 degree feedback.</w:t>
      </w:r>
      <w:proofErr w:type="gramEnd"/>
      <w:r w:rsidRPr="00E7099E">
        <w:rPr>
          <w:sz w:val="20"/>
          <w:szCs w:val="20"/>
        </w:rPr>
        <w:t xml:space="preserve"> As per </w:t>
      </w:r>
      <w:proofErr w:type="spellStart"/>
      <w:r w:rsidRPr="00E7099E">
        <w:rPr>
          <w:sz w:val="20"/>
          <w:szCs w:val="20"/>
        </w:rPr>
        <w:t>Gopalakrishnan</w:t>
      </w:r>
      <w:proofErr w:type="spellEnd"/>
      <w:r w:rsidRPr="00E7099E">
        <w:rPr>
          <w:sz w:val="20"/>
          <w:szCs w:val="20"/>
        </w:rPr>
        <w:t xml:space="preserve"> Committee recommendation, the objective of implementing non-legislative recommendations of FSLRC related to Capacity Building in Banks &amp; NBFCs streamlining Training system. Each Bank / NBFC would have a </w:t>
      </w:r>
      <w:r w:rsidRPr="00E7099E">
        <w:rPr>
          <w:sz w:val="20"/>
          <w:szCs w:val="20"/>
        </w:rPr>
        <w:lastRenderedPageBreak/>
        <w:t xml:space="preserve">Chief Learning Officer who would prepare ‘Learn-ability Index’ for </w:t>
      </w:r>
      <w:proofErr w:type="gramStart"/>
      <w:r w:rsidRPr="00E7099E">
        <w:rPr>
          <w:sz w:val="20"/>
          <w:szCs w:val="20"/>
        </w:rPr>
        <w:t>nominating  for</w:t>
      </w:r>
      <w:proofErr w:type="gramEnd"/>
      <w:r w:rsidRPr="00E7099E">
        <w:rPr>
          <w:sz w:val="20"/>
          <w:szCs w:val="20"/>
        </w:rPr>
        <w:t xml:space="preserve"> different training programs based on such index to ensure optimum effectiveness. A BAT (Banking Aptitude Test) has been proposed to introduce at Entry Level.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Basel III Liquidity Returns have to be submitted by PSBs, PVT. Banks, Foreign Banks (</w:t>
      </w:r>
      <w:proofErr w:type="spellStart"/>
      <w:r w:rsidRPr="00E7099E">
        <w:rPr>
          <w:sz w:val="20"/>
          <w:szCs w:val="20"/>
        </w:rPr>
        <w:t>excld</w:t>
      </w:r>
      <w:proofErr w:type="spellEnd"/>
      <w:r w:rsidRPr="00E7099E">
        <w:rPr>
          <w:sz w:val="20"/>
          <w:szCs w:val="20"/>
        </w:rPr>
        <w:t xml:space="preserve">. RRBs) in XBRL platform, effective from Sept. 2014: 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Statement for Liquidity Coverage Ratio: LCR-BLR ¹ monthly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Statement of Funding Concentration: BLR ⁵ Monthly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Statement of Available Unencumbered Assets: BLR-3 Quarterly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LCR by significant Currency-BLR-4: Monthly.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Statement of Other Information on Liquidity: BLR-⁵ Monthly.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11. Client Due Diligence Measures for SCBs for having account-based relationship for both existing &amp; new clients.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12. Clarification on Inoperative &amp; Dormant: Crediting </w:t>
      </w:r>
      <w:proofErr w:type="gramStart"/>
      <w:r w:rsidRPr="00E7099E">
        <w:rPr>
          <w:sz w:val="20"/>
          <w:szCs w:val="20"/>
        </w:rPr>
        <w:t>dividend  of</w:t>
      </w:r>
      <w:proofErr w:type="gramEnd"/>
      <w:r w:rsidRPr="00E7099E">
        <w:rPr>
          <w:sz w:val="20"/>
          <w:szCs w:val="20"/>
        </w:rPr>
        <w:t xml:space="preserve"> share holding in the account as per the mandate of the account holder would be treated as ‘ Customer Induces Transaction’ and the account should be treated as operative account by virtue of this credit account though no other credit entry in the account for a period of 2 years from the last entry by the customers which use to make the account inoperative in absence of other customer induced transaction.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>13. Accounts opened for credit of Scholarship in RRBs &amp; CCBs will be free from maintaining min. balance restriction &amp; total Credit.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14. Modification in CTS on paid Govt. </w:t>
      </w:r>
      <w:proofErr w:type="spellStart"/>
      <w:r w:rsidRPr="00E7099E">
        <w:rPr>
          <w:sz w:val="20"/>
          <w:szCs w:val="20"/>
        </w:rPr>
        <w:t>Cheque</w:t>
      </w:r>
      <w:proofErr w:type="spellEnd"/>
      <w:r w:rsidRPr="00E7099E">
        <w:rPr>
          <w:sz w:val="20"/>
          <w:szCs w:val="20"/>
        </w:rPr>
        <w:t xml:space="preserve">. Govt. </w:t>
      </w:r>
      <w:proofErr w:type="spellStart"/>
      <w:r w:rsidRPr="00E7099E">
        <w:rPr>
          <w:sz w:val="20"/>
          <w:szCs w:val="20"/>
        </w:rPr>
        <w:t>Cheques</w:t>
      </w:r>
      <w:proofErr w:type="spellEnd"/>
      <w:r w:rsidRPr="00E7099E">
        <w:rPr>
          <w:sz w:val="20"/>
          <w:szCs w:val="20"/>
        </w:rPr>
        <w:t xml:space="preserve"> would be paid in CTS clearing based on their electronic images.</w:t>
      </w:r>
    </w:p>
    <w:p w:rsidR="00C84421" w:rsidRPr="00E7099E" w:rsidRDefault="00C84421" w:rsidP="00C84421">
      <w:pPr>
        <w:rPr>
          <w:sz w:val="20"/>
          <w:szCs w:val="20"/>
        </w:rPr>
      </w:pPr>
      <w:r w:rsidRPr="00E7099E">
        <w:rPr>
          <w:sz w:val="20"/>
          <w:szCs w:val="20"/>
        </w:rPr>
        <w:t xml:space="preserve">15. Pont of Non-Viability (PONV) trigger will be determined by </w:t>
      </w:r>
      <w:proofErr w:type="spellStart"/>
      <w:r w:rsidRPr="00E7099E">
        <w:rPr>
          <w:sz w:val="20"/>
          <w:szCs w:val="20"/>
        </w:rPr>
        <w:t>RBI.under</w:t>
      </w:r>
      <w:proofErr w:type="spellEnd"/>
      <w:r w:rsidRPr="00E7099E">
        <w:rPr>
          <w:sz w:val="20"/>
          <w:szCs w:val="20"/>
        </w:rPr>
        <w:t xml:space="preserve"> </w:t>
      </w:r>
      <w:proofErr w:type="spellStart"/>
      <w:r w:rsidRPr="00E7099E">
        <w:rPr>
          <w:sz w:val="20"/>
          <w:szCs w:val="20"/>
        </w:rPr>
        <w:t>Bael</w:t>
      </w:r>
      <w:proofErr w:type="spellEnd"/>
      <w:r w:rsidRPr="00E7099E">
        <w:rPr>
          <w:sz w:val="20"/>
          <w:szCs w:val="20"/>
        </w:rPr>
        <w:t xml:space="preserve"> III. PONV is the point where a bank is deemed to have failed.</w:t>
      </w:r>
    </w:p>
    <w:p w:rsidR="00C84421" w:rsidRPr="00E7099E" w:rsidRDefault="00C84421" w:rsidP="00C84421">
      <w:pPr>
        <w:rPr>
          <w:sz w:val="20"/>
          <w:szCs w:val="20"/>
        </w:rPr>
      </w:pPr>
    </w:p>
    <w:p w:rsidR="00C84421" w:rsidRPr="00E7099E" w:rsidRDefault="00C84421" w:rsidP="00C84421">
      <w:pPr>
        <w:rPr>
          <w:sz w:val="20"/>
          <w:szCs w:val="20"/>
        </w:rPr>
      </w:pPr>
    </w:p>
    <w:p w:rsidR="00C84421" w:rsidRPr="00E7099E" w:rsidRDefault="00C84421" w:rsidP="00C84421">
      <w:pPr>
        <w:rPr>
          <w:sz w:val="20"/>
          <w:szCs w:val="20"/>
        </w:rPr>
      </w:pPr>
    </w:p>
    <w:p w:rsidR="00C84421" w:rsidRPr="00E7099E" w:rsidRDefault="00C84421" w:rsidP="00C84421">
      <w:pPr>
        <w:rPr>
          <w:sz w:val="20"/>
          <w:szCs w:val="20"/>
        </w:rPr>
      </w:pPr>
    </w:p>
    <w:p w:rsidR="00BA419C" w:rsidRDefault="00BA419C"/>
    <w:sectPr w:rsidR="00BA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4421"/>
    <w:rsid w:val="00BA419C"/>
    <w:rsid w:val="00C8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Company>Compaq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Anamitra</dc:creator>
  <cp:keywords/>
  <dc:description/>
  <cp:lastModifiedBy>Anamitra</cp:lastModifiedBy>
  <cp:revision>2</cp:revision>
  <dcterms:created xsi:type="dcterms:W3CDTF">2014-11-25T23:10:00Z</dcterms:created>
  <dcterms:modified xsi:type="dcterms:W3CDTF">2014-11-25T23:10:00Z</dcterms:modified>
</cp:coreProperties>
</file>